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UNTERNEHMENSKAUFVERTRAG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Registergericht / Registernummer: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Registergericht / Registernummer: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Unternehmenskaufvertrag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ambel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betreibt beziehungsweise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Beteiligungen an folgendem Unternehmen: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Unternehmensgegenstand: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beabsichtigt, das Unternehmen beziehungsweise die nachfolgend bezeichneten Unternehmensbestandteile zu erwerben.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haben hierzu gegebenenfalls bereits: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Letter of Intent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Due-Diligence-Pr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Vertraulichkeitsvereinbarung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gesonderten Vorvereinbarungen getroffen.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Art der Transaktion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Unternehmenskauf erfolgt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Share Deal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de-DE"/>
        </w:rPr>
        <w:t>Erwerb von Gesellschaftsanteilen.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Asset Deal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de-DE"/>
        </w:rPr>
        <w:t>Erwerb einzelner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Rechtspositionen.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aus beiden Strukturen.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TEIL A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s-ES_tradnl"/>
        </w:rPr>
        <w:t>SHARE DEAL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 Zu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bertragende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Abschnitt ist auszuf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llen, wenn Gesellschaftsanteile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Stamm-/Grundkapital: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gehaltene 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bertragende 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Nennbetrag der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Nummern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Rechtsstellung der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dieses Vertrages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 stehen in seinem Eigentum.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 sind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eingezahlt.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 sind frei von Rechten Dritter.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folgende Belastungen: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Vorkaufsrechte.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bekannten Vorkaufsrechte.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Zustimmungen sind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5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 der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erfolgt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mit Eintritt der in diesem Vertrag vereinbarten Vollzugsbedingungen.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GmbH-Gesch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ftsanteilen erfolgt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unter Beachtung der gesetzlich vorgeschriebenen notariellen Form.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Zustimmungen: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Beirat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Aufsichtsrat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finanzierende 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B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ASSET DEAL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Kaufgegenstand beim Asset Deal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Asset Deal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nachfolgend bezeichneten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nde und Rechtspositionen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Kaufgegenstand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 und technische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Betriebs-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Warenbestand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Rohstoffe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Kundenstamm, soweit rechtlich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Domainnamen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Schutzrechte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ge, soweit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Miet- und Leasingverh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ltnisse, soweit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Telefonnummern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Social-Media-Konten, soweit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Goodwill /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ftswert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Anlagenverzeichnis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bertragenden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werden detailliert in einer Anlage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Anlage Nr.: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Anlage sollte insbesondere enthalten:</w:t>
      </w:r>
    </w:p>
    <w:tbl>
      <w:tblPr>
        <w:tblW w:w="632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2345"/>
        <w:gridCol w:w="1660"/>
        <w:gridCol w:w="194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2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Verm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gensgegenstand</w:t>
            </w:r>
          </w:p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Kennzeichnung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Wert / Zuordnung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8 Nicht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bertragene Verm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gensgegenst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nicht Gegenstand des Verkaufs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Kaufgegenstand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zum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bergangsstichtag bestehenden 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Uneinbringliche oder streitige 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Verbindlichkeiten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Verbindlichkeiten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ufers, soweit gesetzlich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cklich in Anlage __________________ genannten Verbindlichkeiten.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Verbindlichkeiten: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eintretende Haftungsfolgen bleiben durch diese interne Zuordnung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mit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sollen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Leasingvertr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Lizenzvertr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Telekommunikationsvertr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Liste ergibt sich aus Anlage: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Vertrags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bernahme die Zustimmung eines Dritten erforderlich ist, steht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unter dem Vorbehalt dieser Zustimmung.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Noch ausstehende Zustimmungen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Vertragspartner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ssen einer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noch zustimmen:</w:t>
      </w:r>
    </w:p>
    <w:tbl>
      <w:tblPr>
        <w:tblW w:w="431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30"/>
        <w:gridCol w:w="851"/>
        <w:gridCol w:w="17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Vertragspartner</w:t>
            </w:r>
          </w:p>
        </w:tc>
        <w:tc>
          <w:tcPr>
            <w:tcW w:type="dxa" w:w="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Vertrag</w:t>
            </w:r>
          </w:p>
        </w:tc>
        <w:tc>
          <w:tcPr>
            <w:tcW w:type="dxa" w:w="17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Zustimmung bis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eine Zustimmung nicht erreicht werden,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Grundst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cke und Immobilien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Kaufgegenstand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keine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/ Immobilien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Kaufgegenstand: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Grundbuch: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ckseigentum sind die gesetzlichen Formvorschriften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Gewerbliche Schutzrechte und geistiges 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bertragen beziehungsweise lizenziert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Gebrauchsmuster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Domains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Urheberrechte beziehungsweise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Know-how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Details zu Umfang und Rechts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Daten und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Unternehmensdaten werden nur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CRM-Daten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Newsletterdaten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personenbezogene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Vor einer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personenbezogener Daten sind die datenschutzrechtlichen Voraussetzungen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Arbeitnehmer und Betriebs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Unternehmen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derzeit: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Betriebs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bergang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613a BGB wird erwartet.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Betriebs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 wird nach aktueller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nicht erwartet.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rechtliche Einordnung ist noch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Wenn ein Betrieb oder Betriebsteil durch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 auf einen anderen Inhaber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bergeht, sieht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613a BGB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vor, dass der neue Inhaber in die bestehenden Rechte und Pflichten aus den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ltnissen eintritt.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Liste der betroffenen Arbeitnehmer: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 Arbeitnehmerinformationen: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 Beratung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Pensions- und Versorgungsverpflichtungen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bekannten betrieblichen Versorgungsverpflichtungen.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Versorgungs- beziehungsweise Pensionsverpflichtungen: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verbleibt beim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ufer, soweit rechtlich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gesonderte Regelung erforderlich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Gesamtkaufpreis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 zzgl. gesetzlicher Umsatzsteuer, soweit anwendbar.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Umsatzsteuerbehandlung wird gesondert steuerlich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setzt sich zusammen aus:</w:t>
      </w:r>
    </w:p>
    <w:tbl>
      <w:tblPr>
        <w:tblW w:w="363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79"/>
        <w:gridCol w:w="1656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Bestandteil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Kaufpreisanteil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Gesellschaftsanteile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Anlageverm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gen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Warenbestand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immaterielle Werte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Goodwill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Werte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</w:t>
            </w:r>
          </w:p>
        </w:tc>
        <w:tc>
          <w:tcPr>
            <w:tcW w:type="dxa" w:w="16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Kaufpreisanpassung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Kaufpreis ist fest.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Kaufpreis wird zum Vollzug angepasst.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Nettoverschuldung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Working Capital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Eigenkapital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Inventurbestand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EBITDA / 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Kennzahl: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Berechnungsmethode: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Earn-out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Earn-out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Teil des Kaufpreises wird erfolgsabh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Maximaler Earn-out: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Bemessungszeitraum: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Bemessungsgrundlage: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EBIT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EBITDA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Kennzahl: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wird gezahlt: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am Vollzugstag.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folgenden Raten:</w:t>
      </w:r>
    </w:p>
    <w:tbl>
      <w:tblPr>
        <w:tblW w:w="34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86"/>
        <w:gridCol w:w="1034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Anzahlung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Closing-Zahlung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Rate 1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Rate 2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Bankverbindung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Kaufpreiseinbehalt / Escrow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Kaufpreiseinbehalt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Betrag wird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einbehalten: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Dauer des Einbehalts: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Zweck: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Absicherung von Garantieanspr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Kaufpreisanpassung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Risiken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Betrag wird auf einem Treuhand-/Escrow-Konto verwahrt.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23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bergangsstichtag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Wirtschaftlicher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bergang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 diesem Zeitpunkt stehen 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wirtschaftlichen Chancen und Risiken des Kaufgegenstands zu, soweit vertraglich und rechtlich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Besitz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Gefahr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Vollzugsbedingungen / Closing Conditions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Vollzug steht unter folgenden Bedingungen: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Kaufpreiszahlung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notarielle Beurkundung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Zustimmungen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Finanzierung des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kartellrechtliche 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Genehmigungen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wesentlicher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Banken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wesentliche nachteilige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Bedingung: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25 Closing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Closing findet statt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Closing erfolgen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Kaufpreiszahlung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Anteils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von 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bertragung von Domains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von Fahrzeugen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von Bankvollmachten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Handlungen: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26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bergibt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Handelsregisterunterlagen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Jahresabschl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Mitarbeiterunterlagen, soweit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Lizenzunterlagen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Garantien des Verk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in diesem Vertrag bezeichneten Garantien und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vereinbart,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 ist zur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des Kaufgegenstands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angegebenen Gesellschaftsanteile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Ihm sind keine nicht offengelegten Belastungen der verkauften Anteile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vorgelegten Jahresabschl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wurden 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bekannte Rechtsstreitigkeiten wurden offengelegt.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wurden offengelegt.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bekannte Steuerverfahren wurden offengelegt.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Schutzrechte wurden aufgelistet.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Garantie: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Offenlegung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 Garantien ausgenommen beziehungsweise offengelegt sind folgende Sachverhalte: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Disclosure 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Anlage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Offenlegungsgrundlage.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Rechtsstreitigkeiten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Rechtsstreitigkeiten oder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Verfahren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sind keine weiteren wesentlichen Verfahren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entsprechende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Steuern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Steuerzeitr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ume bis zum wirtschaftlichen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bergang gilt folgende interne Zuordnung: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 Steuerpr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Steuerr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ckstellungen: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Struktur der Transaktion ist gesondert fachlich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hrleistung und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Haftung der Parteien richtet sich nach den gesetzlichen Vorschriften, soweit in diesem Vertrag keine wirksamen abweichenden Vereinbarungen getroffen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Garantie- und Haftungsanspr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wird gegebenenfalls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Mindestschaden je Anspruch: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Freigrenze / Basket: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Haftungsh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chstbetrag: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Verj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hrungs-/Ausschlussfrist, soweit zul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ssig: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che, insbesondere wegen vors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Verhaltens oder sonstiger zwingender gesetzlicher Haftung,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nicht ohne Weiteres ausgeschlossen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Freistellungen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stellt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im vereinbarten Umfang von folgenden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bezeichneten Risiken frei: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Steuerverbindlichkeiten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Rechtsstreitigkeiten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Umweltlasten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Altverbindlichkeiten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Schutzrechtsstreitigkeiten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Risiken: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Umfang und Voraussetzungen: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Wettbewerbsvereinbarung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nachvertragliches Wettbewerbsverbot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verpflichtet sich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Jahre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keine unmittelbar konkurrierende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aufzunehmen.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Sachlicher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Wettbewerbsvereinbarung sollte hinsichtlich Dauer, Gebiet und sachlichem Umfang individuell auf ihre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Kundenschutz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besonderer Kundenschutz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verpflichtet sich, folgende Kunden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Zeitraum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Monaten / Jahren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aktiv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konkurrierende Leistungen abzuwerben: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Mitarbeiterabwerbung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vereinbaren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rechtliche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ist im konkreten Fall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36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bergangsunterst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 durch den Verk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nach dem Vollzug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bei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Einweisung in Betriebsabl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Einweisung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Mitarbeiter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Verwaltungs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Kaufpreis enthalten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 pro Monat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hrung nach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endet zum Closing.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hrer bleibt bis __________________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wird beratend weiter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hrer-/Beratervertrag wird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Geheimhaltung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Parteien behandeln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ffentliche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Transaktion und das Unternehmen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Kaufpreis,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Vertragsbedingungen,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Finanzdaten,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Personalinformationen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Offenlegungspflichten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ffentlichkeitsarbeit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Ö</w:t>
      </w:r>
      <w:r>
        <w:rPr>
          <w:rFonts w:ascii="Times Roman" w:hAnsi="Times Roman"/>
          <w:rtl w:val="0"/>
          <w:lang w:val="de-DE"/>
        </w:rPr>
        <w:t>ffentliche Mitteilungen zum Unternehmenskauf: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erfolgen nur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erfolgen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Kosten der Transaktion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 Partei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ihre eigenen Beratungs- und Transaktionskosten.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folgende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folgende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Notar- und Registerkosten: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Aufschiebende 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beziehungsweise einzelne Pflichten stehen unter folgenden aufschiebenden Bedingungen: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Eintritt: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ltigem Ausbleiben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42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cktritt / Nichtvollzug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beziehungsweise eine Beendigung vor Vollzug 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entstandene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und gesetzlich zwingende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Gesellschaftsanteile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Verbindlichkeiten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Vertragsliste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Mitarbeiterliste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Schutzrechte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Immobilien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Jahresabschl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9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nl-NL"/>
        </w:rPr>
        <w:t>Garantiekatalog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10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Disclosure 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Kaufpreisberechnung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Closing-Checkliste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sind unter Beachtung gesetzlich erforderlicher Formvorschriften vorzunehmen.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diesen Vertrag oder einzelne Bestandteile notarielle Beurkundung gesetzlich vorgeschrieben ist, ist die erforderliche Form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Vertragsbestimmungen unwirksam sein oder werden, richtet sich die Rechtsfolge nach den gesetzlichen Vorschriften. Die Wirksamkeit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abweichenden vertraglichen 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rechtliche, steuerliche oder wirtschaftliche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Unternehmenskauf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zu den rechtlich und steuerlich komplexesten Vertragstypen. Insbesondere Kaufstruktur, notarielle Form, Steuerfolgen, Arbeitnehmer, Altverbindlichkeiten, Datenschutz, Garantien, Haftung, Kaufpreisanpassungen und Finanzierung sollten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Transaktion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von GmbH-Gesch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ftsanteilen ist insbesondere die gesetzlich vorgeschriebene notarielle Form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