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TEILZEITARBEITSVERTRAG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Teilzeitarbeitsvertrag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Beginn und Dauer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 unbestimmte 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befristete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ftigungen sollte ein gesonderter befristeter Arbeitsvertrag verwendet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Probezeit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Probezeit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ersten __________ Monate gelten als Probezeit.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Probezeit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gt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chstens: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vereinbarten Probezeit gelten die gesetzlichen beziehungsweise wirksam vereinbarten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wird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 als: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seinen wesentlichen Aufgaben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kann dem Arbeitnehmer andere gleichwertige und zumutbare Aufgaben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bertragen, soweit dies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Kenntnisse,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higkeiten und vertraglichen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angemessen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Arbeitsort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iger Arbeitsort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Arbeitnehmer kann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an anderen betrieblichen Standorten eingesetzt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Mobiles Arbeiten / Homeoffice richtet sich nach einer gesonderten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Arbeitsorte sind vorgesehen: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Regelm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ige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Arbeitszeit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Stunden pro Woche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ohne Ruhepausen.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 Arbeitszeit ist damit geringer als 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Arbeitszeit eines vergleichbaren vollzeitbesch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ftigten Arbeitnehmers im Betrieb.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Verteilung der Arbeitszeit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feste Verteilung auf bestimmte Wochentage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flexible Verteilung nach betrieblicher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Einsatz nach Dienstplan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Schichtarbeit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Verteilung auf die Wochentage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fester Verteilung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Montag: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Dienstag: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Mittwoch: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Donnerstag: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Freitag: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Samstag: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Sonntag,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ssig: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Wochenarbeitszeit: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Stunden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Flexible Arbeitszeit / Dienstplan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die Arbeitszeit nicht dauerhaft fest auf bestimmte Tage verteilt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konkreten Einsatzzeiten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Dienstplan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vorheriger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festgelegt: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bei der Festlegung der Arbeitszeit die gesetzlichen Arbeitszeitvorschriften sowie die vereinbarten Teilzeitstunden.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Ruhepausen und Ruhezeiten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Ruhepausen richten sich nach den gesetzlichen Vorschriften und gegebenenfalls anwendbaren Tarif- oder Betriebsvereinbarungen.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Vereinbarte beziehungsweise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 Pausen: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Arbeitszeit von mehr als sechs bis zu neun Stunden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gesetzliche Mindestpause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30 Minuten; bei mehr als neun Stunden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45 Minuten.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gesetzlichen Ruhezeiten zwischen zwei Arbeitseins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tzen sind einzuhalten.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9 Mehrarbeit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Mehrarbeit oder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berstunden sind nur zu leisten, soweit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angeordnet oder genehmigt wurden,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sind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ihre Anordnung dem Arbeitnehmer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des vereinbarten Teilzeitumfangs zumutbar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Behandlung angeordneter oder genehmigter Mehrarbeit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dem vereinbarten Stundenentgelt.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Ausgleich durch entsprechende Freizeit.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Wahlweise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oder Freizeitausgleich nach Abstimmung.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pauschaler unbegrenzter Einschluss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berstunden in die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wird nicht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 monatliches Bruttoarbeitsentgelt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Stundenlohn: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de-DE"/>
        </w:rPr>
        <w:t>brutto je Arbeitsstunde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letzten Bankarbeitstag des Monats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__________. Kalendertag des Folgemonats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das vom Arbeitnehmer benannte Konto.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Zuschl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tungsbestandteile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werden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tungsbestandteile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Nachtarbeitszuschlag: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Sonn-/Feiertagszuschlag: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Schichtzulage: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Provision / Bonus: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Zulage: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Leistungen freiwillig oder unter besonderen Voraussetzungen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werden sollen, sollte dies jeweils gesondert eindeutig vereinbart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Sonderzahlungen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Weihnachtsgeld, Urlaubsgeld,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mien oder sonstige Sonderzahlungen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vertraglich vereinbarten Sonderzahlungen.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Sonderzahlung wird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Teilzeitbesch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allein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zu einer sachlich nicht gerechtfertigten Schlechterstellung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vergleichbaren Vollzeitbesch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 Erholungsurlaub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Arbeitstage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Verteilung der Arbeitszeit 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Arbeitstage pro Woche.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ndert sich die Anzahl der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Arbeitstage pro Woche, ist der Urlaubsanspruch gegebenenfalls entsprechend neu zu berechnen.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Gesetzliche, tarifvertragliche oder sonstige zwingende Urlaubsanspr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zeitliche Lage des Urlaubs ist mit dem Arbeitgeber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gesetzlichen Vorgaben und betrieblichen Belange abzustimmen.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Arbeitsverhinderung und Krankheit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informiert den Arbeitgeber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und deren voraussichtliche Dauer.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Nachweis und Entgeltfortzahlung gelten die jeweils anwendbaren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Betriebliche Meldewege: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nliche Daten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Arbeitnehmer informiert den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ber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wesentlich sind, insbesondere bei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Anschrift,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Bankverbindung,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relevanten personenbezogenen Angaben.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sollen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mitgeteilt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Nebent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soweit berechtigte Interessen des Arbeitgebers nicht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werden und gesetzliche Arbeitszeitgrenzen eingehalten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anzeigepflichtige oder zustimmungsbed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rftige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unmittelbare Wettbewerber ist vor Aufnahme mit dem Arbeitgeber zu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stellt folgende Arbeitsmittel bereit: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Computer / Notebook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/ Zugangskarte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berlassene Arbeitsmittel bleiben Eigentum des Arbeitgebers, soweit nichts anderes vereinbart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sind sie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behandelt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sonstige erkennbar vertrauliche Informationen des Arbeitgebers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gilt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auch nach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fort.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werden im Rahmen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nach den jeweils geltenden Datenschutzvorschriften verarbeitet.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betriebliche Datenschutz- oder IT-Richtlinien bestehen und wirksam einbezogen wurden, sind diese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Fortbildungen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vom Arbeitgeber verpflichtend angeordnete Fortbildungen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besondere Fortbildungs- oder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ckzahlungsvereinbarungen getroffen werden sollen, werden diese gesondert schriftlich beziehungsweise in der gesetzlich erforderlichen Form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Tarifvertr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Betriebsvereinbarungen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finden Anwendung: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Tarifvertr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oder Betriebsvereinbarungen, soweit derzeit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Tarifvertrag: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Betriebsvereinbarung: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sonstige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zwingende kollektivrechtliche Regelungen bestehen, gehen diese individualvertraglichen Vereinbarungen im jeweiligen gesetzlichen Umfang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22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ndigungen gelten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wirksam vereinbarte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wirksam vereinbarten Probezeit gelten die gesetzlichen oder tarifvertraglichen Probezeitregelungen.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bedarf der gesetzlich vorgeschriebenen Form.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Frist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ndigungsschutzklage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drei Wochen ab Zugang der schriftlichen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ndigung, soweit die gesetzlichen Voraussetzungen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ndigungsschutzgesetzes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gig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Freistellung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Zusammenhang mit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kann eine Freistellung nur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erfolgen.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Anrechnung offener Urlaubsanspr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oder Zeitguthaben erfolgt nur, soweit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24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bei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gibt der Arbeitnehmer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betrieblichen Unterlagen,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te,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 Zugangsmittel und sonstiges Eigentum des Arbeitgebers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Ausschlussfristen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werden 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arbeitsvertraglichen Ausschlussfristen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fte Ausschlussfrist: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Ausschlussfrist sollte nur verwendet werden, wenn ihre konkrete Formulierung arbeitsrechtlich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Arbeitsvertrags sollen entsprechend den jeweils geltenden gesetzlichen Anforderungen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Sollten einzelne Bestimmungen unwirksam sein, richtet sich ihre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Beratung. Tarifvertr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ge, Betriebsvereinbarungen und Besonderheiten des jeweiligen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oder abweichende Regelungen erforderlich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