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GESELLSCHAFTERBESCHLUSS EINER GMBH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HRB-Nummer: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Art der Beschlussfassung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Beschlussfassung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einer Gesellschafterversammlung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einer Telefonkonferenz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einer 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schriftlichen / textf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rmlichen Umlaufverfahren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den alleinigen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sonstige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Datum und 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Beginn:</w:t>
      </w:r>
      <w:r>
        <w:rPr>
          <w:rFonts w:ascii="Times Roman" w:hAnsi="Times Roman"/>
          <w:rtl w:val="0"/>
          <w:lang w:val="en-US"/>
        </w:rPr>
        <w:t xml:space="preserve"> __________________________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Ende:</w:t>
      </w:r>
      <w:r>
        <w:rPr>
          <w:rFonts w:ascii="Times Roman" w:hAnsi="Times Roman"/>
          <w:rtl w:val="0"/>
          <w:lang w:val="en-US"/>
        </w:rPr>
        <w:t xml:space="preserve"> ____________________________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digitaler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Verwendetes System / Medium: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 der Beschlussfassung nehmen folgende Gesellschafter teil:</w:t>
      </w:r>
    </w:p>
    <w:tbl>
      <w:tblPr>
        <w:tblW w:w="771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512"/>
        <w:gridCol w:w="3033"/>
        <w:gridCol w:w="980"/>
        <w:gridCol w:w="218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3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Gesch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ftsanteil / Nennbetrag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Stimmen</w:t>
            </w:r>
          </w:p>
        </w:tc>
        <w:tc>
          <w:tcPr>
            <w:tcW w:type="dxa" w:w="21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anwesend / vertreten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Vertretung von Gesellschaftern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Gesellschafter werden vertreten: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Grundlage der Vertretung: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 liegt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 ist diesem Protokoll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Vertretung.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Vollmachten zur Stimmrechtsaus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bung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rfen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47 Abs. 3 GmbHG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Textform.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Versammlungsleitung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Versammlungsleiter wird bestimmt: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Protokollf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wird bestimmt: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Einberufung und Teilnahme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stellen fest: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Gesellschafterversammlung wurde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einberufen.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Gesellschafter sind anwesend oder vertreten und verzichten auf die Einhaltung weiterer Einberufungsformalit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Beschlussfassung erfolgt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einer Versammlung mit Zustimmung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mtlicher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Beschlussf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anwesenden beziehungsweise vertretenen Gesellschafter repr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sentieren: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des Stammkapitals.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Gesellschaftsvertrag / Satzung ist die Beschlussfassung: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beschlussf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beschlussf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hig.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besondere Beschlussf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higkeitsregelung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Satzungsregelung: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Tagesordnung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Tagesordnungspunkte stehen zur Beschlussfassung: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BESCHLUSSFASSUNG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Beschlussgegenstand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Tagesordnungspunkt Nr.: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Sachverhalt / Hintergrund: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Beschlusstext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Abstimmungsergebnis: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Ja-Stimmen: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Nein-Stimmen: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Enthaltungen: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Nicht stimmberechtigte Stimmen: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Beschluss ist damit: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einstimmig 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der erforderlichen Mehrheit 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mangels erforderlicher Mehrheit nicht angenommen.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Stimmverbote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bekannten Stimmverbote.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Gesellschafter war von der Abstimmung ausgeschlossen: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47 Abs. 4 GmbHG sieht unter anderem ein Stimmverbot vor, wenn ein Gesellschafter durch einen Beschluss entlastet oder von einer Verbindlichkeit befreit werden soll oder wenn bestimmte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beziehungsweise Rechtsstreitigkeiten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ihm betroffen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Durchf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des Beschlusses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Umsetzung des Beschlusses wird beauftragt: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/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Gesellschafter: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Steuerberater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 / Notar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Umsetzungsfrist: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Handelsregister / notarielle Umsetzung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Registeranmeldung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Handelsregisteranmeldung erforderlich beziehungsweise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notarielle Beurkundung erforderlich beziehungsweise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notarielle Beglaubigung erforderlich beziehungsweise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Satzungs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betroffen.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hrerwechsel betroffen.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Prokura betroffen.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Kapitalma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betroffen.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 xml:space="preserve">nderungen des Gesellschaftsvertrages unterliegen besonderen gesetzlichen Formvorschriften;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53 GmbHG sieht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notarielle Beurkundung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Weitere Beschl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sse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Beschluss Nr.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Gegenstand: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Beschlusstext: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Ja-Stimmen: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Nein-Stimmen:</w:t>
      </w:r>
      <w:r>
        <w:rPr>
          <w:rFonts w:ascii="Times Roman" w:hAnsi="Times Roman"/>
          <w:rtl w:val="0"/>
          <w:lang w:val="en-US"/>
        </w:rPr>
        <w:t xml:space="preserve"> 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Enthaltungen:</w:t>
      </w:r>
      <w:r>
        <w:rPr>
          <w:rFonts w:ascii="Times Roman" w:hAnsi="Times Roman"/>
          <w:rtl w:val="0"/>
          <w:lang w:val="en-US"/>
        </w:rPr>
        <w:t xml:space="preserve"> 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angenommen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abgelehnt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Beschluss Nr.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Gegenstand: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Beschlusstext: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Ja-Stimmen: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Nein-Stimmen:</w:t>
      </w:r>
      <w:r>
        <w:rPr>
          <w:rFonts w:ascii="Times Roman" w:hAnsi="Times Roman"/>
          <w:rtl w:val="0"/>
          <w:lang w:val="en-US"/>
        </w:rPr>
        <w:t xml:space="preserve"> 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Enthaltungen:</w:t>
      </w:r>
      <w:r>
        <w:rPr>
          <w:rFonts w:ascii="Times Roman" w:hAnsi="Times Roman"/>
          <w:rtl w:val="0"/>
          <w:lang w:val="en-US"/>
        </w:rPr>
        <w:t xml:space="preserve"> 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angenommen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abgelehnt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Beschluss beziehungsweise Protokoll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Einladung zur Gesellschafterversammlung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Tagesordnung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Gewinnverwendungsvorschlag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Vertragsentwurf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Investitionsunterlagen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Gesellschafterliste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Abschluss der 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Wortmeldungen: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Versammlung wird geschlossen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Uhr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Versammlungsleiter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Protokollf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ALTERNATIVE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EIN-PERSONEN-GMBH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Beschluss des Alleingesellschafters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alleiniger Gesellschafter 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 GmbH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fasse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folgenden Beschluss: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Beschluss wird hiermit schriftlich niedergelegt.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Alleingesellschafter: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Verwendung sollte insbesondere der Gesellschaftsvertrag beziehungsweise die Satzung der konkreten GmbH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 Dort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von den gesetzlichen Grundregeln abweichende Mehrheiten,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ndigkeiten, Einberufungsregeln oder Zustimmungserfordernisse festgelegt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Satzungs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nderungen, Kapitalma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 Anteils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bertragungen oder anderen register- beziehungsweise beurkundungsbed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rftigen Vorg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gesetzliche Formvorschriften gelten.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